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6904" w14:textId="77777777" w:rsidR="00232431" w:rsidRDefault="003650F3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color w:val="000000" w:themeColor="text1"/>
          <w:sz w:val="44"/>
          <w:szCs w:val="44"/>
        </w:rPr>
        <w:t>先进班集体评审细则</w:t>
      </w:r>
    </w:p>
    <w:p w14:paraId="2D05A9AE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第一条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先进班集体奖励是中国人民大学的重要学生奖励项目。</w:t>
      </w:r>
    </w:p>
    <w:p w14:paraId="4D4B3FEB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第二条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先进班集体奖励属集体荣誉称号，同时纳入竞赛展评类奖励类别。</w:t>
      </w:r>
    </w:p>
    <w:p w14:paraId="5ADFEDB1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第三条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先进班集体每年评审一次，奖励对象为上一学年在班级建设表现突出、班级成员全面发展的全日制学生班级（不含全国际学生班级），授奖数量约为上述奖励对象基数的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25%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14:paraId="5BAE788A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第四条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先进班集体奖励设“十佳班集体”、“示范班集体”、“先进班集体”三个等级，分别给予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5000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元、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3000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元、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2000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元奖励。</w:t>
      </w:r>
    </w:p>
    <w:p w14:paraId="4F532CC9" w14:textId="77777777" w:rsidR="00232431" w:rsidRDefault="003650F3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第五条</w:t>
      </w:r>
      <w:r>
        <w:rPr>
          <w:rFonts w:ascii="黑体" w:eastAsia="黑体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参评班级应满足以下条件：</w:t>
      </w:r>
    </w:p>
    <w:p w14:paraId="44E9EF04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一）思想引领好：班级成员坚持四项基本原则，拥护党的理论、路线、方针、政策，努力学习马克思主义中国化最新成果和中国共产党的行动指南，坚定“四个自信”，深入开展生动活泼的理论学习和思想教育活动；</w:t>
      </w:r>
    </w:p>
    <w:p w14:paraId="5D8337AE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（二）遵规守纪好：形成遵规守纪的良好班级风尚，班级成员符合《中国人民大学学生奖励管理办法》规定的基本条件，认真学习并遵守学校各项规章制度、无违法违纪行为，所涉宿舍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校级督查成绩达到合格及以上水平；</w:t>
      </w:r>
    </w:p>
    <w:p w14:paraId="0DFBF624" w14:textId="627E7E98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（三）文化氛围好：注重营造积极、向上的班级文化氛围，打造特色的文化符号、文化载体、文化标识，开展丰富多彩、健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康向上的班级活动，推进班级与党团支部协同建设，落实班团一体化要求，积极配合学校和学院、书院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开展工作；</w:t>
      </w:r>
    </w:p>
    <w:p w14:paraId="161E7416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四）学习风气好：形成诚信求实、刻苦钻研、勤奋创新、互帮互学的学风，班级成员学习成绩整体优良，积极参加各类学习和学术活动科研创新活动，在学习学术类奖学金评审、学术论文或科研作品发表、学科或学术竞赛等方面表现突出；</w:t>
      </w:r>
    </w:p>
    <w:p w14:paraId="29581B87" w14:textId="662DE8D8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（五）同学感情好：班级成员积极参加班级活动和学校、学院、书院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组织的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各项活动，真诚友爱、互助协作、关系融洽，形成较强的归宿感、荣誉感和凝聚力；</w:t>
      </w:r>
    </w:p>
    <w:p w14:paraId="3424D1FA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（六）骨干示范好：班主任、辅导员认真负责、指导有方，班委会、党团支部委员会坚强团结、工作得力，党班团骨干素质高、能力强，能够以身作则，在班级内建立较高威信。</w:t>
      </w:r>
    </w:p>
    <w:p w14:paraId="039825B0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第六条</w:t>
      </w:r>
      <w:r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先进班集体评审应按照“公开、公平、竞争、择优”的原则开展，具体流程如下：</w:t>
      </w:r>
    </w:p>
    <w:p w14:paraId="7EEA7772" w14:textId="19C04EF4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（一）党委学生工作部下发评审通知，明确各学院、书院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初评推荐名额和工作要求。</w:t>
      </w:r>
    </w:p>
    <w:p w14:paraId="03F55E8F" w14:textId="3A332FCA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（二）各学院、书院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制订初评工作方案，并将评审工作信息通知到非新生班级。</w:t>
      </w:r>
    </w:p>
    <w:p w14:paraId="77393716" w14:textId="20F73A0E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（三）各学院、书院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按照自主申报、资格审核、展示评比、名单公示等流程，做好初评推荐工作，充分展示班级风采。推荐班级名单应通过网站、公告栏或新媒体等进行公示，公示期不少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于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日。公示无异议后，推荐名单须经党政联席会或党组织会议审议通过。</w:t>
      </w:r>
    </w:p>
    <w:p w14:paraId="69034E76" w14:textId="5DE167DA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（四）党委学生工作部审核各学院、书院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推荐班级材料，确定十佳班集体候选名单，举办十佳班集体展评活动。</w:t>
      </w:r>
    </w:p>
    <w:p w14:paraId="3EE5EE4B" w14:textId="77777777" w:rsidR="00232431" w:rsidRDefault="003650F3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（五）党委学生工作部对拟授奖班级进行公示，公示期不少于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天。评审结果报学生工作委员会或学校领导审定后发布。</w:t>
      </w:r>
    </w:p>
    <w:p w14:paraId="15F37C87" w14:textId="77777777" w:rsidR="00232431" w:rsidRDefault="003650F3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黑体" w:eastAsia="黑体" w:hAnsi="黑体" w:cs="仿宋"/>
          <w:bCs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本细则自</w:t>
      </w: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月起实施，由党委学生工作部负责解释。</w:t>
      </w:r>
    </w:p>
    <w:sectPr w:rsidR="00232431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D8"/>
    <w:rsid w:val="000346D2"/>
    <w:rsid w:val="000953B5"/>
    <w:rsid w:val="000A5C47"/>
    <w:rsid w:val="000B6743"/>
    <w:rsid w:val="0010175F"/>
    <w:rsid w:val="00125358"/>
    <w:rsid w:val="001456C8"/>
    <w:rsid w:val="00152671"/>
    <w:rsid w:val="00154B1E"/>
    <w:rsid w:val="001834CA"/>
    <w:rsid w:val="001901CC"/>
    <w:rsid w:val="00190F50"/>
    <w:rsid w:val="001964FB"/>
    <w:rsid w:val="001C3EB8"/>
    <w:rsid w:val="001D0CDB"/>
    <w:rsid w:val="00201F0A"/>
    <w:rsid w:val="00232431"/>
    <w:rsid w:val="00234258"/>
    <w:rsid w:val="00234B2F"/>
    <w:rsid w:val="002637A4"/>
    <w:rsid w:val="002C55FB"/>
    <w:rsid w:val="002E16D8"/>
    <w:rsid w:val="002E2F2E"/>
    <w:rsid w:val="00346095"/>
    <w:rsid w:val="00361E28"/>
    <w:rsid w:val="003650F3"/>
    <w:rsid w:val="003A08CF"/>
    <w:rsid w:val="003B0C2A"/>
    <w:rsid w:val="003F3919"/>
    <w:rsid w:val="00406A94"/>
    <w:rsid w:val="004126A9"/>
    <w:rsid w:val="0041387E"/>
    <w:rsid w:val="00445C49"/>
    <w:rsid w:val="004642D3"/>
    <w:rsid w:val="00465278"/>
    <w:rsid w:val="004C4562"/>
    <w:rsid w:val="00605C67"/>
    <w:rsid w:val="00607B22"/>
    <w:rsid w:val="006101D4"/>
    <w:rsid w:val="006723E0"/>
    <w:rsid w:val="00686801"/>
    <w:rsid w:val="006B206F"/>
    <w:rsid w:val="006C2379"/>
    <w:rsid w:val="006F1D7C"/>
    <w:rsid w:val="006F7BA9"/>
    <w:rsid w:val="00703DEC"/>
    <w:rsid w:val="00704D93"/>
    <w:rsid w:val="00706718"/>
    <w:rsid w:val="007116E2"/>
    <w:rsid w:val="007949F3"/>
    <w:rsid w:val="007B69A7"/>
    <w:rsid w:val="007F1B2E"/>
    <w:rsid w:val="008177BA"/>
    <w:rsid w:val="00840D4A"/>
    <w:rsid w:val="008452B1"/>
    <w:rsid w:val="008656C5"/>
    <w:rsid w:val="0088429C"/>
    <w:rsid w:val="008F4DEA"/>
    <w:rsid w:val="00943DF8"/>
    <w:rsid w:val="0095398D"/>
    <w:rsid w:val="009C70A6"/>
    <w:rsid w:val="00A15EB6"/>
    <w:rsid w:val="00B34392"/>
    <w:rsid w:val="00C34CB1"/>
    <w:rsid w:val="00C40BC4"/>
    <w:rsid w:val="00C444E8"/>
    <w:rsid w:val="00CB043F"/>
    <w:rsid w:val="00CF3D63"/>
    <w:rsid w:val="00D5409C"/>
    <w:rsid w:val="00D766DA"/>
    <w:rsid w:val="00DA66F9"/>
    <w:rsid w:val="00DA6849"/>
    <w:rsid w:val="00E02C77"/>
    <w:rsid w:val="00E23251"/>
    <w:rsid w:val="00E35565"/>
    <w:rsid w:val="00E6767B"/>
    <w:rsid w:val="00E7306F"/>
    <w:rsid w:val="00E91349"/>
    <w:rsid w:val="00EA7EC7"/>
    <w:rsid w:val="00EB742F"/>
    <w:rsid w:val="00EB7EA6"/>
    <w:rsid w:val="00EC3FAC"/>
    <w:rsid w:val="00EC432C"/>
    <w:rsid w:val="00EE4605"/>
    <w:rsid w:val="00F03463"/>
    <w:rsid w:val="00F064E7"/>
    <w:rsid w:val="00F75B8F"/>
    <w:rsid w:val="00FB41B3"/>
    <w:rsid w:val="036012D6"/>
    <w:rsid w:val="0658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8274F"/>
  <w15:docId w15:val="{84BE5644-C9F1-4BF5-AFA3-97FDE12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song peiyuan</cp:lastModifiedBy>
  <cp:revision>79</cp:revision>
  <dcterms:created xsi:type="dcterms:W3CDTF">2019-11-10T12:39:00Z</dcterms:created>
  <dcterms:modified xsi:type="dcterms:W3CDTF">2021-09-23T03:29:00Z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